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E0D8" w14:textId="63DDA703" w:rsidR="00C7076E" w:rsidRPr="00104503" w:rsidRDefault="00C7076E" w:rsidP="00C7076E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57536D9B" w14:textId="77777777" w:rsidR="00C7076E" w:rsidRDefault="00C7076E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2481D1CB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Pr="00C232C1">
        <w:rPr>
          <w:b w:val="0"/>
          <w:sz w:val="24"/>
          <w:szCs w:val="24"/>
        </w:rPr>
        <w:t xml:space="preserve">provide </w:t>
      </w:r>
      <w:r w:rsidR="00143CF2">
        <w:rPr>
          <w:b w:val="0"/>
          <w:sz w:val="24"/>
          <w:szCs w:val="24"/>
        </w:rPr>
        <w:t xml:space="preserve">guidelines for CIP paramedics to assess a patient with </w:t>
      </w:r>
      <w:r w:rsidR="00FF363D">
        <w:rPr>
          <w:b w:val="0"/>
          <w:sz w:val="24"/>
          <w:szCs w:val="24"/>
        </w:rPr>
        <w:t xml:space="preserve"> an isolated </w:t>
      </w:r>
      <w:r w:rsidR="006353F5">
        <w:rPr>
          <w:b w:val="0"/>
          <w:sz w:val="24"/>
          <w:szCs w:val="24"/>
        </w:rPr>
        <w:t xml:space="preserve">sore throat </w:t>
      </w:r>
      <w:r w:rsidR="00FF363D">
        <w:rPr>
          <w:b w:val="0"/>
          <w:sz w:val="24"/>
          <w:szCs w:val="24"/>
        </w:rPr>
        <w:t xml:space="preserve">without other respiratory complaints, </w:t>
      </w:r>
      <w:r w:rsidR="00143CF2">
        <w:rPr>
          <w:b w:val="0"/>
          <w:sz w:val="24"/>
          <w:szCs w:val="24"/>
        </w:rPr>
        <w:t xml:space="preserve">and differentiate between the patients who will require ED evaluation vs, </w:t>
      </w:r>
      <w:r w:rsidRPr="00C232C1">
        <w:rPr>
          <w:b w:val="0"/>
          <w:sz w:val="24"/>
          <w:szCs w:val="24"/>
        </w:rPr>
        <w:t xml:space="preserve">alternatives </w:t>
      </w:r>
      <w:r w:rsidR="00143CF2">
        <w:rPr>
          <w:b w:val="0"/>
          <w:sz w:val="24"/>
          <w:szCs w:val="24"/>
        </w:rPr>
        <w:t>such as t</w:t>
      </w:r>
      <w:r w:rsidRPr="00C232C1">
        <w:rPr>
          <w:b w:val="0"/>
          <w:sz w:val="24"/>
          <w:szCs w:val="24"/>
        </w:rPr>
        <w:t>reatment</w:t>
      </w:r>
      <w:r w:rsidR="00143CF2">
        <w:rPr>
          <w:b w:val="0"/>
          <w:sz w:val="24"/>
          <w:szCs w:val="24"/>
        </w:rPr>
        <w:t xml:space="preserve"> on scene or</w:t>
      </w:r>
      <w:r w:rsidR="00FC0A3C">
        <w:rPr>
          <w:b w:val="0"/>
          <w:sz w:val="24"/>
          <w:szCs w:val="24"/>
        </w:rPr>
        <w:t xml:space="preserve"> at alternative destinations.  </w:t>
      </w:r>
      <w:r w:rsidRPr="00C232C1">
        <w:rPr>
          <w:b w:val="0"/>
          <w:sz w:val="24"/>
          <w:szCs w:val="24"/>
        </w:rPr>
        <w:t xml:space="preserve"> </w:t>
      </w:r>
    </w:p>
    <w:p w14:paraId="67BCC6DB" w14:textId="5025B98B" w:rsidR="00183EDB" w:rsidRDefault="00183EDB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24BD83F" w14:textId="2BEB2A16" w:rsidR="00183EDB" w:rsidRDefault="00183EDB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Aliases:  Sore throat, strep throat, croup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4894089D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A7618A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A7618A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1B15EAC4" w14:textId="4D3B6EE1" w:rsidR="001F43E3" w:rsidRDefault="00226319" w:rsidP="0022631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62EF4">
        <w:rPr>
          <w:b w:val="0"/>
          <w:sz w:val="24"/>
          <w:szCs w:val="24"/>
        </w:rPr>
        <w:t>btain additional history</w:t>
      </w:r>
      <w:r w:rsidR="00FF363D">
        <w:rPr>
          <w:b w:val="0"/>
          <w:sz w:val="24"/>
          <w:szCs w:val="24"/>
        </w:rPr>
        <w:t xml:space="preserve"> and assessment</w:t>
      </w:r>
      <w:r w:rsidR="00862EF4">
        <w:rPr>
          <w:b w:val="0"/>
          <w:sz w:val="24"/>
          <w:szCs w:val="24"/>
        </w:rPr>
        <w:t xml:space="preserve"> including the following:</w:t>
      </w:r>
    </w:p>
    <w:p w14:paraId="739F6EAF" w14:textId="76E1E97F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systemic symptoms:  fever, chills, diaphoresis, weakness, dizziness, changes in mental status, breathing difficulty, chest pain, etc.).</w:t>
      </w:r>
    </w:p>
    <w:p w14:paraId="53C79F07" w14:textId="33DA3ADB" w:rsidR="00FF363D" w:rsidRDefault="00FF363D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Detailed examination of the face, neck, mouth</w:t>
      </w:r>
    </w:p>
    <w:p w14:paraId="37C845DE" w14:textId="3983D034" w:rsidR="00C67A6F" w:rsidRDefault="00C67A6F" w:rsidP="00C67A6F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Diagnostics to consider</w:t>
      </w:r>
    </w:p>
    <w:p w14:paraId="441C88D4" w14:textId="77777777" w:rsidR="00FF363D" w:rsidRDefault="00C67A6F" w:rsidP="00FF36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Strep test</w:t>
      </w:r>
      <w:r w:rsidR="006353F5">
        <w:rPr>
          <w:b w:val="0"/>
          <w:sz w:val="24"/>
          <w:szCs w:val="24"/>
        </w:rPr>
        <w:t xml:space="preserve"> or other throat cultures per physician order </w:t>
      </w:r>
      <w:r w:rsidR="00FF363D" w:rsidRPr="00066C9C">
        <w:rPr>
          <w:bCs w:val="0"/>
          <w:sz w:val="24"/>
          <w:szCs w:val="24"/>
        </w:rPr>
        <w:t>see Specimen and Collection protocol</w:t>
      </w:r>
    </w:p>
    <w:p w14:paraId="673A0955" w14:textId="309ABE60" w:rsidR="00FF363D" w:rsidRDefault="00FF363D" w:rsidP="00FF36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Lab</w:t>
      </w:r>
      <w:r w:rsidR="002C7F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draw for b</w:t>
      </w:r>
      <w:r w:rsidR="006353F5">
        <w:rPr>
          <w:b w:val="0"/>
          <w:sz w:val="24"/>
          <w:szCs w:val="24"/>
        </w:rPr>
        <w:t xml:space="preserve">lood tests </w:t>
      </w:r>
      <w:r>
        <w:rPr>
          <w:b w:val="0"/>
          <w:sz w:val="24"/>
          <w:szCs w:val="24"/>
        </w:rPr>
        <w:t xml:space="preserve">(example: mono spot) </w:t>
      </w:r>
      <w:r w:rsidR="006353F5">
        <w:rPr>
          <w:b w:val="0"/>
          <w:sz w:val="24"/>
          <w:szCs w:val="24"/>
        </w:rPr>
        <w:t>per ph</w:t>
      </w:r>
      <w:r w:rsidR="00D66439">
        <w:rPr>
          <w:b w:val="0"/>
          <w:sz w:val="24"/>
          <w:szCs w:val="24"/>
        </w:rPr>
        <w:t>ys</w:t>
      </w:r>
      <w:r w:rsidR="006353F5">
        <w:rPr>
          <w:b w:val="0"/>
          <w:sz w:val="24"/>
          <w:szCs w:val="24"/>
        </w:rPr>
        <w:t>ician</w:t>
      </w:r>
      <w:r w:rsidR="00D66439">
        <w:rPr>
          <w:b w:val="0"/>
          <w:sz w:val="24"/>
          <w:szCs w:val="24"/>
        </w:rPr>
        <w:t>’s</w:t>
      </w:r>
      <w:r w:rsidR="006353F5">
        <w:rPr>
          <w:b w:val="0"/>
          <w:sz w:val="24"/>
          <w:szCs w:val="24"/>
        </w:rPr>
        <w:t xml:space="preserve"> order </w:t>
      </w:r>
      <w:r w:rsidRPr="00066C9C">
        <w:rPr>
          <w:bCs w:val="0"/>
          <w:sz w:val="24"/>
          <w:szCs w:val="24"/>
        </w:rPr>
        <w:t>see Specimen and Collection protocol</w:t>
      </w:r>
    </w:p>
    <w:p w14:paraId="2391E3EE" w14:textId="61F52F7E" w:rsidR="00862EF4" w:rsidRDefault="00226319" w:rsidP="00862EF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="00862EF4">
        <w:rPr>
          <w:b w:val="0"/>
          <w:bCs w:val="0"/>
          <w:sz w:val="24"/>
          <w:szCs w:val="24"/>
        </w:rPr>
        <w:t xml:space="preserve">atients with any of the following, consider transport to ED </w:t>
      </w:r>
      <w:r w:rsidR="00862EF4" w:rsidRPr="00862EF4">
        <w:rPr>
          <w:sz w:val="24"/>
          <w:szCs w:val="24"/>
        </w:rPr>
        <w:t>see</w:t>
      </w:r>
      <w:r w:rsidR="00A7618A">
        <w:rPr>
          <w:sz w:val="24"/>
          <w:szCs w:val="24"/>
        </w:rPr>
        <w:t xml:space="preserve"> CIP</w:t>
      </w:r>
      <w:r w:rsidR="00862EF4" w:rsidRPr="00862EF4">
        <w:rPr>
          <w:sz w:val="24"/>
          <w:szCs w:val="24"/>
        </w:rPr>
        <w:t xml:space="preserve"> Medical Direction protocol</w:t>
      </w:r>
      <w:r w:rsidR="00862EF4">
        <w:rPr>
          <w:sz w:val="24"/>
          <w:szCs w:val="24"/>
        </w:rPr>
        <w:t>:</w:t>
      </w:r>
    </w:p>
    <w:p w14:paraId="62A34C2C" w14:textId="49281FB9" w:rsidR="00862EF4" w:rsidRP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Systemic symptoms</w:t>
      </w:r>
    </w:p>
    <w:p w14:paraId="1AEB37A0" w14:textId="544AD036" w:rsidR="00862EF4" w:rsidRP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Vital sign changes or instability</w:t>
      </w:r>
    </w:p>
    <w:p w14:paraId="55228DE5" w14:textId="449A0528" w:rsidR="00862EF4" w:rsidRP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Significant lab abnormalities</w:t>
      </w:r>
    </w:p>
    <w:p w14:paraId="63C4A001" w14:textId="2998183D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Altered level of consciousness</w:t>
      </w:r>
    </w:p>
    <w:p w14:paraId="5FC4DE0D" w14:textId="29B9C5B7" w:rsidR="006353F5" w:rsidRPr="006353F5" w:rsidRDefault="006353F5" w:rsidP="006353F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Facial or neck s</w:t>
      </w:r>
      <w:r w:rsidR="00183EDB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 xml:space="preserve">elling </w:t>
      </w:r>
    </w:p>
    <w:p w14:paraId="14441DA7" w14:textId="56E2BF0B" w:rsidR="00183EDB" w:rsidRDefault="00FF363D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High f</w:t>
      </w:r>
      <w:r w:rsidR="00183EDB">
        <w:rPr>
          <w:b w:val="0"/>
          <w:bCs w:val="0"/>
          <w:sz w:val="24"/>
          <w:szCs w:val="24"/>
        </w:rPr>
        <w:t>ever</w:t>
      </w:r>
    </w:p>
    <w:p w14:paraId="4BE64F9D" w14:textId="77777777" w:rsidR="00FF363D" w:rsidRDefault="00FF363D" w:rsidP="00FF36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Significant voice change “hot potato voice”</w:t>
      </w:r>
    </w:p>
    <w:p w14:paraId="5D890F9A" w14:textId="6E28716A" w:rsidR="00FF363D" w:rsidRDefault="00FF363D" w:rsidP="00FF36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Uvula deviation or swelling</w:t>
      </w:r>
    </w:p>
    <w:p w14:paraId="2093F3FC" w14:textId="33949F66" w:rsidR="00FF363D" w:rsidRDefault="00FF363D" w:rsidP="00FF36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 Intolerance</w:t>
      </w:r>
    </w:p>
    <w:p w14:paraId="5EEA1FE2" w14:textId="00AE7611" w:rsidR="00FF363D" w:rsidRPr="00FF363D" w:rsidRDefault="00FF363D" w:rsidP="00FF363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Inability to swallow/drooling</w:t>
      </w:r>
      <w:r w:rsidR="002C7FE5">
        <w:rPr>
          <w:b w:val="0"/>
          <w:bCs w:val="0"/>
          <w:sz w:val="24"/>
          <w:szCs w:val="24"/>
        </w:rPr>
        <w:t xml:space="preserve"> </w:t>
      </w:r>
    </w:p>
    <w:p w14:paraId="7CEEC9A9" w14:textId="09CAC9ED" w:rsidR="00183EDB" w:rsidRDefault="00183EDB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Fatigue</w:t>
      </w:r>
    </w:p>
    <w:p w14:paraId="43B13C80" w14:textId="19AE320B" w:rsidR="00183EDB" w:rsidRDefault="00183EDB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Loss of appetite</w:t>
      </w:r>
    </w:p>
    <w:p w14:paraId="4AC292AF" w14:textId="57EBB63C" w:rsidR="00183EDB" w:rsidRDefault="00183EDB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Body aches</w:t>
      </w:r>
    </w:p>
    <w:p w14:paraId="08BB01C7" w14:textId="361D6E78" w:rsidR="00183EDB" w:rsidRDefault="00183EDB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Chills</w:t>
      </w:r>
    </w:p>
    <w:p w14:paraId="565BA263" w14:textId="34F7E10F" w:rsidR="006353F5" w:rsidRDefault="002C7FE5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Stridor</w:t>
      </w:r>
    </w:p>
    <w:p w14:paraId="08C758E8" w14:textId="77777777" w:rsidR="00243478" w:rsidRPr="0037524B" w:rsidRDefault="00243478" w:rsidP="0024347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On-scene medication administration may include:</w:t>
      </w:r>
    </w:p>
    <w:p w14:paraId="62AA6125" w14:textId="77777777" w:rsidR="00243478" w:rsidRPr="00C27E7B" w:rsidRDefault="00243478" w:rsidP="0024347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6193EC8C" w14:textId="77777777" w:rsidR="00C67A6F" w:rsidRDefault="00C67A6F" w:rsidP="00C67A6F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Fluid </w:t>
      </w:r>
    </w:p>
    <w:p w14:paraId="0DA50391" w14:textId="195EAD78" w:rsidR="002C7FE5" w:rsidRDefault="008F5343" w:rsidP="00C67A6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048800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0E84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67A6F">
        <w:rPr>
          <w:b w:val="0"/>
          <w:bCs w:val="0"/>
          <w:sz w:val="40"/>
          <w:szCs w:val="40"/>
        </w:rPr>
        <w:t xml:space="preserve"> </w:t>
      </w:r>
      <w:r w:rsidR="00C67A6F">
        <w:rPr>
          <w:b w:val="0"/>
          <w:bCs w:val="0"/>
          <w:sz w:val="24"/>
          <w:szCs w:val="24"/>
        </w:rPr>
        <w:t>IV fluid bolus up to a maximum of 2 liters</w:t>
      </w:r>
      <w:r w:rsidR="002C7FE5">
        <w:rPr>
          <w:b w:val="0"/>
          <w:bCs w:val="0"/>
          <w:sz w:val="24"/>
          <w:szCs w:val="24"/>
        </w:rPr>
        <w:t xml:space="preserve"> for</w:t>
      </w:r>
      <w:r w:rsidR="006353F5">
        <w:rPr>
          <w:b w:val="0"/>
          <w:bCs w:val="0"/>
          <w:sz w:val="24"/>
          <w:szCs w:val="24"/>
        </w:rPr>
        <w:t xml:space="preserve"> signs of dehydration</w:t>
      </w:r>
      <w:r w:rsidR="00C67A6F">
        <w:rPr>
          <w:b w:val="0"/>
          <w:bCs w:val="0"/>
          <w:sz w:val="24"/>
          <w:szCs w:val="24"/>
        </w:rPr>
        <w:t xml:space="preserve"> </w:t>
      </w:r>
    </w:p>
    <w:p w14:paraId="0E8691F8" w14:textId="77777777" w:rsidR="002C7FE5" w:rsidRDefault="002C7FE5" w:rsidP="002C7FE5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Caution with CHF and renal patients, consult physician prior to administration</w:t>
      </w:r>
    </w:p>
    <w:p w14:paraId="01AB1A08" w14:textId="7A0D576E" w:rsidR="00C67A6F" w:rsidRDefault="00C67A6F" w:rsidP="002C7FE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Antipyretics/Analgesics </w:t>
      </w:r>
    </w:p>
    <w:p w14:paraId="1C1246DA" w14:textId="3CED080C" w:rsidR="00C67A6F" w:rsidRDefault="008F5343" w:rsidP="00C67A6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383837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C67A6F">
        <w:rPr>
          <w:b w:val="0"/>
          <w:sz w:val="40"/>
          <w:szCs w:val="40"/>
        </w:rPr>
        <w:t xml:space="preserve"> </w:t>
      </w:r>
      <w:r w:rsidR="00C67A6F">
        <w:rPr>
          <w:b w:val="0"/>
          <w:sz w:val="24"/>
          <w:szCs w:val="24"/>
        </w:rPr>
        <w:t>Acetaminophen 325 mg PO (Max dose 650 mg) (optional)</w:t>
      </w:r>
    </w:p>
    <w:p w14:paraId="7A3D9867" w14:textId="661CEE15" w:rsidR="00C67A6F" w:rsidRPr="00532AEB" w:rsidRDefault="008F5343" w:rsidP="00C67A6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  <w:lang w:val="es-ES"/>
        </w:rPr>
      </w:pPr>
      <w:sdt>
        <w:sdtPr>
          <w:rPr>
            <w:b w:val="0"/>
            <w:sz w:val="40"/>
            <w:szCs w:val="40"/>
            <w:lang w:val="es-ES"/>
          </w:rPr>
          <w:id w:val="-1501039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sz w:val="40"/>
              <w:szCs w:val="40"/>
              <w:lang w:val="es-ES"/>
            </w:rPr>
            <w:t>☒</w:t>
          </w:r>
        </w:sdtContent>
      </w:sdt>
      <w:r w:rsidR="00C67A6F" w:rsidRPr="00532AEB">
        <w:rPr>
          <w:b w:val="0"/>
          <w:sz w:val="40"/>
          <w:szCs w:val="40"/>
          <w:lang w:val="es-ES"/>
        </w:rPr>
        <w:t xml:space="preserve"> </w:t>
      </w:r>
      <w:r w:rsidR="00C67A6F" w:rsidRPr="00532AEB">
        <w:rPr>
          <w:b w:val="0"/>
          <w:sz w:val="24"/>
          <w:szCs w:val="24"/>
          <w:lang w:val="es-ES"/>
        </w:rPr>
        <w:t xml:space="preserve">Ibuprofen 200 mg PO (Max dose 600 mg) </w:t>
      </w:r>
    </w:p>
    <w:p w14:paraId="6FD1387E" w14:textId="6AF8C578" w:rsidR="00C67A6F" w:rsidRDefault="008F5343" w:rsidP="00C67A6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1453982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C67A6F">
        <w:rPr>
          <w:b w:val="0"/>
          <w:sz w:val="40"/>
          <w:szCs w:val="40"/>
        </w:rPr>
        <w:t xml:space="preserve"> </w:t>
      </w:r>
      <w:r w:rsidR="00C67A6F">
        <w:rPr>
          <w:b w:val="0"/>
          <w:sz w:val="24"/>
          <w:szCs w:val="24"/>
        </w:rPr>
        <w:t xml:space="preserve">Throat lozenges </w:t>
      </w:r>
    </w:p>
    <w:p w14:paraId="2BCCEA83" w14:textId="5B73CD6F" w:rsidR="00183EDB" w:rsidRDefault="00C67A6F" w:rsidP="002C7FE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Antibiotics</w:t>
      </w:r>
      <w:r w:rsidR="006353F5">
        <w:rPr>
          <w:b w:val="0"/>
          <w:bCs w:val="0"/>
          <w:sz w:val="24"/>
          <w:szCs w:val="24"/>
        </w:rPr>
        <w:t xml:space="preserve"> for suspected strep upon phys</w:t>
      </w:r>
      <w:r w:rsidR="002C7FE5">
        <w:rPr>
          <w:b w:val="0"/>
          <w:bCs w:val="0"/>
          <w:sz w:val="24"/>
          <w:szCs w:val="24"/>
        </w:rPr>
        <w:t>ici</w:t>
      </w:r>
      <w:r w:rsidR="006353F5">
        <w:rPr>
          <w:b w:val="0"/>
          <w:bCs w:val="0"/>
          <w:sz w:val="24"/>
          <w:szCs w:val="24"/>
        </w:rPr>
        <w:t xml:space="preserve">an’s orders. </w:t>
      </w:r>
    </w:p>
    <w:p w14:paraId="2CD37040" w14:textId="77777777" w:rsidR="00183EDB" w:rsidRDefault="00183EDB" w:rsidP="001638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Strep</w:t>
      </w:r>
    </w:p>
    <w:p w14:paraId="2245361D" w14:textId="2EA6548D" w:rsidR="00183EDB" w:rsidRDefault="008F5343" w:rsidP="00183EDB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090889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E72D54">
        <w:rPr>
          <w:b w:val="0"/>
          <w:bCs w:val="0"/>
          <w:sz w:val="40"/>
          <w:szCs w:val="40"/>
        </w:rPr>
        <w:t xml:space="preserve"> </w:t>
      </w:r>
      <w:r w:rsidR="00183EDB">
        <w:rPr>
          <w:b w:val="0"/>
          <w:bCs w:val="0"/>
          <w:sz w:val="24"/>
          <w:szCs w:val="24"/>
        </w:rPr>
        <w:t>Penicillin V potassium 500 mg</w:t>
      </w:r>
      <w:r w:rsidR="00D66439">
        <w:rPr>
          <w:b w:val="0"/>
          <w:bCs w:val="0"/>
          <w:sz w:val="24"/>
          <w:szCs w:val="24"/>
        </w:rPr>
        <w:t xml:space="preserve"> PO, </w:t>
      </w:r>
      <w:r w:rsidR="00183EDB">
        <w:rPr>
          <w:b w:val="0"/>
          <w:bCs w:val="0"/>
          <w:sz w:val="24"/>
          <w:szCs w:val="24"/>
        </w:rPr>
        <w:t>QID. 7-10 days</w:t>
      </w:r>
      <w:r w:rsidR="00C67A6F">
        <w:rPr>
          <w:b w:val="0"/>
          <w:bCs w:val="0"/>
          <w:sz w:val="24"/>
          <w:szCs w:val="24"/>
        </w:rPr>
        <w:t xml:space="preserve"> </w:t>
      </w:r>
    </w:p>
    <w:p w14:paraId="57763998" w14:textId="1693A509" w:rsidR="006353F5" w:rsidRDefault="008F5343" w:rsidP="006353F5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202637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2C7FE5">
        <w:rPr>
          <w:b w:val="0"/>
          <w:bCs w:val="0"/>
          <w:sz w:val="40"/>
          <w:szCs w:val="40"/>
        </w:rPr>
        <w:t xml:space="preserve"> </w:t>
      </w:r>
      <w:r w:rsidR="006353F5">
        <w:rPr>
          <w:b w:val="0"/>
          <w:bCs w:val="0"/>
          <w:sz w:val="24"/>
          <w:szCs w:val="24"/>
        </w:rPr>
        <w:t>Amoxicillin 500 mg</w:t>
      </w:r>
      <w:r w:rsidR="00D66439">
        <w:rPr>
          <w:b w:val="0"/>
          <w:bCs w:val="0"/>
          <w:sz w:val="24"/>
          <w:szCs w:val="24"/>
        </w:rPr>
        <w:t xml:space="preserve"> PO,</w:t>
      </w:r>
      <w:r w:rsidR="006353F5">
        <w:rPr>
          <w:b w:val="0"/>
          <w:bCs w:val="0"/>
          <w:sz w:val="24"/>
          <w:szCs w:val="24"/>
        </w:rPr>
        <w:t xml:space="preserve"> TID 7-10 days.</w:t>
      </w:r>
    </w:p>
    <w:p w14:paraId="23CB1D80" w14:textId="5CAF2433" w:rsidR="00183EDB" w:rsidRDefault="008F5343" w:rsidP="00183EDB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133290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E72D54">
        <w:rPr>
          <w:b w:val="0"/>
          <w:bCs w:val="0"/>
          <w:sz w:val="40"/>
          <w:szCs w:val="40"/>
        </w:rPr>
        <w:t xml:space="preserve"> </w:t>
      </w:r>
      <w:r w:rsidR="00183EDB">
        <w:rPr>
          <w:b w:val="0"/>
          <w:bCs w:val="0"/>
          <w:sz w:val="24"/>
          <w:szCs w:val="24"/>
        </w:rPr>
        <w:t>Cephalexin 500 mg</w:t>
      </w:r>
      <w:r w:rsidR="00D66439">
        <w:rPr>
          <w:b w:val="0"/>
          <w:bCs w:val="0"/>
          <w:sz w:val="24"/>
          <w:szCs w:val="24"/>
        </w:rPr>
        <w:t xml:space="preserve"> PO</w:t>
      </w:r>
      <w:r w:rsidR="00183EDB">
        <w:rPr>
          <w:b w:val="0"/>
          <w:bCs w:val="0"/>
          <w:sz w:val="24"/>
          <w:szCs w:val="24"/>
        </w:rPr>
        <w:t>, QID. 7-10 days</w:t>
      </w:r>
      <w:r w:rsidR="00C67A6F">
        <w:rPr>
          <w:b w:val="0"/>
          <w:bCs w:val="0"/>
          <w:sz w:val="24"/>
          <w:szCs w:val="24"/>
        </w:rPr>
        <w:t xml:space="preserve"> </w:t>
      </w:r>
    </w:p>
    <w:p w14:paraId="1BAE9A2F" w14:textId="70235A98" w:rsidR="00183EDB" w:rsidRDefault="008F5343" w:rsidP="00183EDB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667562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E72D54">
        <w:rPr>
          <w:b w:val="0"/>
          <w:bCs w:val="0"/>
          <w:sz w:val="40"/>
          <w:szCs w:val="40"/>
        </w:rPr>
        <w:t xml:space="preserve"> </w:t>
      </w:r>
      <w:r w:rsidR="00183EDB">
        <w:rPr>
          <w:b w:val="0"/>
          <w:bCs w:val="0"/>
          <w:sz w:val="24"/>
          <w:szCs w:val="24"/>
        </w:rPr>
        <w:t>Azithromycin 250 mg</w:t>
      </w:r>
      <w:r w:rsidR="00D66439">
        <w:rPr>
          <w:b w:val="0"/>
          <w:bCs w:val="0"/>
          <w:sz w:val="24"/>
          <w:szCs w:val="24"/>
        </w:rPr>
        <w:t xml:space="preserve"> PO</w:t>
      </w:r>
      <w:r w:rsidR="002C7FE5">
        <w:rPr>
          <w:b w:val="0"/>
          <w:bCs w:val="0"/>
          <w:sz w:val="24"/>
          <w:szCs w:val="24"/>
        </w:rPr>
        <w:t xml:space="preserve"> </w:t>
      </w:r>
      <w:r w:rsidR="00183EDB">
        <w:rPr>
          <w:b w:val="0"/>
          <w:bCs w:val="0"/>
          <w:sz w:val="24"/>
          <w:szCs w:val="24"/>
        </w:rPr>
        <w:t xml:space="preserve">. </w:t>
      </w:r>
      <w:r w:rsidR="002C7FE5">
        <w:rPr>
          <w:b w:val="0"/>
          <w:bCs w:val="0"/>
          <w:sz w:val="24"/>
          <w:szCs w:val="24"/>
        </w:rPr>
        <w:t>Two (2) tablets</w:t>
      </w:r>
      <w:r w:rsidR="00183EDB">
        <w:rPr>
          <w:b w:val="0"/>
          <w:bCs w:val="0"/>
          <w:sz w:val="24"/>
          <w:szCs w:val="24"/>
        </w:rPr>
        <w:t xml:space="preserve"> on </w:t>
      </w:r>
      <w:r w:rsidR="002C7FE5">
        <w:rPr>
          <w:b w:val="0"/>
          <w:bCs w:val="0"/>
          <w:sz w:val="24"/>
          <w:szCs w:val="24"/>
        </w:rPr>
        <w:t xml:space="preserve">the </w:t>
      </w:r>
      <w:r w:rsidR="00183EDB">
        <w:rPr>
          <w:b w:val="0"/>
          <w:bCs w:val="0"/>
          <w:sz w:val="24"/>
          <w:szCs w:val="24"/>
        </w:rPr>
        <w:t>first day followed by 1</w:t>
      </w:r>
      <w:r w:rsidR="002C7FE5">
        <w:rPr>
          <w:b w:val="0"/>
          <w:bCs w:val="0"/>
          <w:sz w:val="24"/>
          <w:szCs w:val="24"/>
        </w:rPr>
        <w:t xml:space="preserve"> </w:t>
      </w:r>
      <w:r w:rsidR="00183EDB">
        <w:rPr>
          <w:b w:val="0"/>
          <w:bCs w:val="0"/>
          <w:sz w:val="24"/>
          <w:szCs w:val="24"/>
        </w:rPr>
        <w:t>daily for 4 additional days</w:t>
      </w:r>
      <w:r w:rsidR="00C67A6F">
        <w:rPr>
          <w:b w:val="0"/>
          <w:bCs w:val="0"/>
          <w:sz w:val="24"/>
          <w:szCs w:val="24"/>
        </w:rPr>
        <w:t xml:space="preserve"> </w:t>
      </w:r>
    </w:p>
    <w:p w14:paraId="3B0480FB" w14:textId="12894E05" w:rsidR="00183EDB" w:rsidRDefault="008F5343" w:rsidP="00183EDB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5604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AEB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E72D54">
        <w:rPr>
          <w:b w:val="0"/>
          <w:bCs w:val="0"/>
          <w:sz w:val="40"/>
          <w:szCs w:val="40"/>
        </w:rPr>
        <w:t xml:space="preserve"> </w:t>
      </w:r>
      <w:r w:rsidR="006353F5">
        <w:rPr>
          <w:b w:val="0"/>
          <w:bCs w:val="0"/>
          <w:sz w:val="24"/>
          <w:szCs w:val="24"/>
        </w:rPr>
        <w:t xml:space="preserve"> </w:t>
      </w:r>
      <w:r w:rsidR="002C7FE5">
        <w:rPr>
          <w:b w:val="0"/>
          <w:bCs w:val="0"/>
          <w:sz w:val="24"/>
          <w:szCs w:val="24"/>
        </w:rPr>
        <w:t>Amoxicillin/clavulan</w:t>
      </w:r>
      <w:r w:rsidR="00110186">
        <w:rPr>
          <w:b w:val="0"/>
          <w:bCs w:val="0"/>
          <w:sz w:val="24"/>
          <w:szCs w:val="24"/>
        </w:rPr>
        <w:t>a</w:t>
      </w:r>
      <w:r w:rsidR="002C7FE5">
        <w:rPr>
          <w:b w:val="0"/>
          <w:bCs w:val="0"/>
          <w:sz w:val="24"/>
          <w:szCs w:val="24"/>
        </w:rPr>
        <w:t>te 500 mg/125 mg</w:t>
      </w:r>
      <w:r w:rsidR="00D66439">
        <w:rPr>
          <w:b w:val="0"/>
          <w:bCs w:val="0"/>
          <w:sz w:val="24"/>
          <w:szCs w:val="24"/>
        </w:rPr>
        <w:t xml:space="preserve"> PO</w:t>
      </w:r>
    </w:p>
    <w:p w14:paraId="2AA1B8C6" w14:textId="3731325E" w:rsidR="00D54CF8" w:rsidRDefault="00E72D54" w:rsidP="00D54CF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bookmarkStart w:id="0" w:name="_Hlk43229462"/>
      <w:r>
        <w:rPr>
          <w:b w:val="0"/>
          <w:bCs w:val="0"/>
          <w:sz w:val="24"/>
          <w:szCs w:val="24"/>
        </w:rPr>
        <w:t>Counsel/Educate</w:t>
      </w:r>
    </w:p>
    <w:p w14:paraId="7648C24E" w14:textId="77777777" w:rsidR="00D66439" w:rsidRDefault="00D66439" w:rsidP="00D6643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2D5127">
        <w:rPr>
          <w:b w:val="0"/>
          <w:bCs w:val="0"/>
          <w:sz w:val="24"/>
          <w:szCs w:val="24"/>
        </w:rPr>
        <w:t xml:space="preserve">PO recommendations </w:t>
      </w:r>
    </w:p>
    <w:p w14:paraId="605326B7" w14:textId="77777777" w:rsidR="00D66439" w:rsidRPr="002D5127" w:rsidRDefault="00D66439" w:rsidP="00D6643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When to contact a health care provider</w:t>
      </w:r>
    </w:p>
    <w:p w14:paraId="75662393" w14:textId="77777777" w:rsidR="00D66439" w:rsidRDefault="00D66439" w:rsidP="00D66439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bCs w:val="0"/>
          <w:sz w:val="24"/>
          <w:szCs w:val="24"/>
        </w:rPr>
      </w:pPr>
    </w:p>
    <w:bookmarkEnd w:id="0"/>
    <w:p w14:paraId="6C6080BD" w14:textId="77777777" w:rsidR="00D54CF8" w:rsidRPr="00862EF4" w:rsidRDefault="00D54CF8" w:rsidP="00D54CF8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sectPr w:rsidR="00D54CF8" w:rsidRPr="00862EF4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767A" w14:textId="77777777" w:rsidR="008F5343" w:rsidRDefault="008F5343" w:rsidP="001F2980">
      <w:r>
        <w:separator/>
      </w:r>
    </w:p>
  </w:endnote>
  <w:endnote w:type="continuationSeparator" w:id="0">
    <w:p w14:paraId="591817C9" w14:textId="77777777" w:rsidR="008F5343" w:rsidRDefault="008F5343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0F5E" w14:textId="77777777" w:rsidR="000D14A6" w:rsidRDefault="000D1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17F4BD48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532AEB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666FC7E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532AEB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701F95EF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0D14A6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4E63" w14:textId="77777777" w:rsidR="000D14A6" w:rsidRDefault="000D1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D1AA" w14:textId="77777777" w:rsidR="008F5343" w:rsidRDefault="008F5343" w:rsidP="001F2980">
      <w:r>
        <w:separator/>
      </w:r>
    </w:p>
  </w:footnote>
  <w:footnote w:type="continuationSeparator" w:id="0">
    <w:p w14:paraId="36A68C4D" w14:textId="77777777" w:rsidR="008F5343" w:rsidRDefault="008F5343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9B5" w14:textId="77777777" w:rsidR="000D14A6" w:rsidRDefault="000D1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CB0ECA2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293D072B" w:rsidR="00307C54" w:rsidRPr="00785D66" w:rsidRDefault="00C7076E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SORE THROAT COMPLAINTS</w:t>
    </w:r>
  </w:p>
  <w:p w14:paraId="0320484A" w14:textId="026B1EA9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110186">
      <w:rPr>
        <w:rFonts w:ascii="Arial" w:hAnsi="Arial" w:cs="Arial"/>
        <w:sz w:val="20"/>
        <w:szCs w:val="20"/>
      </w:rPr>
      <w:t>December 21, 2020</w:t>
    </w:r>
  </w:p>
  <w:p w14:paraId="0881EC11" w14:textId="3015FF96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C7076E">
      <w:rPr>
        <w:rFonts w:ascii="Arial" w:hAnsi="Arial" w:cs="Arial"/>
        <w:sz w:val="20"/>
        <w:szCs w:val="20"/>
      </w:rPr>
      <w:t>7</w:t>
    </w:r>
    <w:r w:rsidR="00A57261">
      <w:rPr>
        <w:rFonts w:ascii="Arial" w:hAnsi="Arial" w:cs="Arial"/>
        <w:sz w:val="20"/>
        <w:szCs w:val="20"/>
      </w:rPr>
      <w:t>9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CCFA" w14:textId="77777777" w:rsidR="000D14A6" w:rsidRDefault="000D1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50BDF"/>
    <w:rsid w:val="00071073"/>
    <w:rsid w:val="000846DA"/>
    <w:rsid w:val="000A64E9"/>
    <w:rsid w:val="000D14A6"/>
    <w:rsid w:val="001074CC"/>
    <w:rsid w:val="00110186"/>
    <w:rsid w:val="00112699"/>
    <w:rsid w:val="00122754"/>
    <w:rsid w:val="00143CF2"/>
    <w:rsid w:val="00163883"/>
    <w:rsid w:val="00165B46"/>
    <w:rsid w:val="00172FA9"/>
    <w:rsid w:val="00174FCC"/>
    <w:rsid w:val="00183EDB"/>
    <w:rsid w:val="00194992"/>
    <w:rsid w:val="001A1492"/>
    <w:rsid w:val="001A7E8C"/>
    <w:rsid w:val="001B7848"/>
    <w:rsid w:val="001D3D7E"/>
    <w:rsid w:val="001E3351"/>
    <w:rsid w:val="001F2426"/>
    <w:rsid w:val="001F2980"/>
    <w:rsid w:val="001F43E3"/>
    <w:rsid w:val="002141D6"/>
    <w:rsid w:val="00226319"/>
    <w:rsid w:val="00232D46"/>
    <w:rsid w:val="00243478"/>
    <w:rsid w:val="002618CE"/>
    <w:rsid w:val="00274355"/>
    <w:rsid w:val="002B558B"/>
    <w:rsid w:val="002C7FE5"/>
    <w:rsid w:val="00300417"/>
    <w:rsid w:val="0030189B"/>
    <w:rsid w:val="00307C54"/>
    <w:rsid w:val="003352FB"/>
    <w:rsid w:val="003519E4"/>
    <w:rsid w:val="00354222"/>
    <w:rsid w:val="003A7596"/>
    <w:rsid w:val="003B2B89"/>
    <w:rsid w:val="003B6B7E"/>
    <w:rsid w:val="00407CA1"/>
    <w:rsid w:val="00422123"/>
    <w:rsid w:val="004268B0"/>
    <w:rsid w:val="00434F1C"/>
    <w:rsid w:val="00466D4C"/>
    <w:rsid w:val="004962D8"/>
    <w:rsid w:val="004A11DC"/>
    <w:rsid w:val="004D6274"/>
    <w:rsid w:val="004E6444"/>
    <w:rsid w:val="004F62E9"/>
    <w:rsid w:val="00502E26"/>
    <w:rsid w:val="00505A59"/>
    <w:rsid w:val="00512BB7"/>
    <w:rsid w:val="0052194F"/>
    <w:rsid w:val="00532AEB"/>
    <w:rsid w:val="005675CD"/>
    <w:rsid w:val="005716C8"/>
    <w:rsid w:val="005819D8"/>
    <w:rsid w:val="00596553"/>
    <w:rsid w:val="005B19A8"/>
    <w:rsid w:val="005C29C5"/>
    <w:rsid w:val="005C4CFD"/>
    <w:rsid w:val="005E17B4"/>
    <w:rsid w:val="006035C9"/>
    <w:rsid w:val="00620C82"/>
    <w:rsid w:val="00624F1C"/>
    <w:rsid w:val="00626D2C"/>
    <w:rsid w:val="006353F5"/>
    <w:rsid w:val="00645783"/>
    <w:rsid w:val="00663F34"/>
    <w:rsid w:val="00676C63"/>
    <w:rsid w:val="006C75FF"/>
    <w:rsid w:val="00720CC7"/>
    <w:rsid w:val="00753150"/>
    <w:rsid w:val="007772D2"/>
    <w:rsid w:val="00785D66"/>
    <w:rsid w:val="007F6E1A"/>
    <w:rsid w:val="00846568"/>
    <w:rsid w:val="0085699F"/>
    <w:rsid w:val="00862EF4"/>
    <w:rsid w:val="008A5DFA"/>
    <w:rsid w:val="008B7218"/>
    <w:rsid w:val="008F5343"/>
    <w:rsid w:val="00917FE5"/>
    <w:rsid w:val="00936C55"/>
    <w:rsid w:val="009674B3"/>
    <w:rsid w:val="00973A97"/>
    <w:rsid w:val="0098136E"/>
    <w:rsid w:val="009C1142"/>
    <w:rsid w:val="009C2C13"/>
    <w:rsid w:val="009C5144"/>
    <w:rsid w:val="00A54CB2"/>
    <w:rsid w:val="00A57261"/>
    <w:rsid w:val="00A7618A"/>
    <w:rsid w:val="00A90350"/>
    <w:rsid w:val="00A9533B"/>
    <w:rsid w:val="00A971B6"/>
    <w:rsid w:val="00AA6132"/>
    <w:rsid w:val="00AD20DD"/>
    <w:rsid w:val="00AE5DAA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655BB"/>
    <w:rsid w:val="00B836A6"/>
    <w:rsid w:val="00B91C8C"/>
    <w:rsid w:val="00BA052E"/>
    <w:rsid w:val="00BB4AA7"/>
    <w:rsid w:val="00BD07F8"/>
    <w:rsid w:val="00C04AA4"/>
    <w:rsid w:val="00C17A53"/>
    <w:rsid w:val="00C31E63"/>
    <w:rsid w:val="00C67A6F"/>
    <w:rsid w:val="00C7076E"/>
    <w:rsid w:val="00CC33BD"/>
    <w:rsid w:val="00CD12CF"/>
    <w:rsid w:val="00CE0E84"/>
    <w:rsid w:val="00CF06A1"/>
    <w:rsid w:val="00CF5047"/>
    <w:rsid w:val="00CF7348"/>
    <w:rsid w:val="00D0100D"/>
    <w:rsid w:val="00D0299C"/>
    <w:rsid w:val="00D54CF8"/>
    <w:rsid w:val="00D66439"/>
    <w:rsid w:val="00D70C36"/>
    <w:rsid w:val="00D71537"/>
    <w:rsid w:val="00D81447"/>
    <w:rsid w:val="00D86B54"/>
    <w:rsid w:val="00DA298E"/>
    <w:rsid w:val="00E11844"/>
    <w:rsid w:val="00E15643"/>
    <w:rsid w:val="00E32065"/>
    <w:rsid w:val="00E72D54"/>
    <w:rsid w:val="00E85C4B"/>
    <w:rsid w:val="00E90ABF"/>
    <w:rsid w:val="00E917B2"/>
    <w:rsid w:val="00ED14FA"/>
    <w:rsid w:val="00ED1AA7"/>
    <w:rsid w:val="00EE7E7F"/>
    <w:rsid w:val="00F551F2"/>
    <w:rsid w:val="00F75AF3"/>
    <w:rsid w:val="00FB40BB"/>
    <w:rsid w:val="00FC0A3C"/>
    <w:rsid w:val="00FC56CE"/>
    <w:rsid w:val="00FE4C9A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C70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478C8"/>
    <w:rsid w:val="00061D59"/>
    <w:rsid w:val="000B61AD"/>
    <w:rsid w:val="00165B76"/>
    <w:rsid w:val="001674D4"/>
    <w:rsid w:val="00243CEF"/>
    <w:rsid w:val="003642FF"/>
    <w:rsid w:val="00375C22"/>
    <w:rsid w:val="004D03FD"/>
    <w:rsid w:val="005542EB"/>
    <w:rsid w:val="00755679"/>
    <w:rsid w:val="007B7612"/>
    <w:rsid w:val="007C0B4C"/>
    <w:rsid w:val="0080441D"/>
    <w:rsid w:val="00806C9F"/>
    <w:rsid w:val="009767C1"/>
    <w:rsid w:val="009A0C4A"/>
    <w:rsid w:val="00B44DC3"/>
    <w:rsid w:val="00BA7979"/>
    <w:rsid w:val="00EB53BA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5D71-00F8-4762-AE31-E5D3669A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31</cp:revision>
  <cp:lastPrinted>2016-06-17T13:25:00Z</cp:lastPrinted>
  <dcterms:created xsi:type="dcterms:W3CDTF">2020-01-09T19:05:00Z</dcterms:created>
  <dcterms:modified xsi:type="dcterms:W3CDTF">2023-11-20T15:40:00Z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